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D2" w:rsidRDefault="003322D2" w:rsidP="003322D2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Załącznik nr 11 do SIWZ</w:t>
      </w:r>
    </w:p>
    <w:p w:rsidR="003322D2" w:rsidRDefault="003322D2" w:rsidP="003322D2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</w:p>
    <w:p w:rsidR="003322D2" w:rsidRDefault="003322D2" w:rsidP="003322D2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:rsidR="003322D2" w:rsidRDefault="003322D2" w:rsidP="003322D2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:rsidR="003322D2" w:rsidRDefault="003322D2" w:rsidP="003322D2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:rsidR="003322D2" w:rsidRDefault="003322D2" w:rsidP="003322D2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:rsidR="003322D2" w:rsidRDefault="003322D2" w:rsidP="003322D2">
      <w:pPr>
        <w:pStyle w:val="Default"/>
        <w:jc w:val="both"/>
        <w:rPr>
          <w:rFonts w:ascii="Cambria" w:hAnsi="Cambria" w:cs="Times New Roman"/>
          <w:b/>
          <w:color w:val="0070C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Dotyczy postępowania na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: </w:t>
      </w:r>
      <w:r>
        <w:rPr>
          <w:rFonts w:ascii="Cambria" w:hAnsi="Cambria"/>
          <w:b/>
          <w:bCs/>
          <w:color w:val="0070C0"/>
          <w:sz w:val="22"/>
          <w:szCs w:val="22"/>
        </w:rPr>
        <w:t>„</w:t>
      </w:r>
      <w:r>
        <w:rPr>
          <w:rFonts w:ascii="Cambria" w:hAnsi="Cambria" w:cs="Times New Roman"/>
          <w:b/>
          <w:i/>
          <w:color w:val="0070C0"/>
          <w:sz w:val="22"/>
          <w:szCs w:val="22"/>
          <w:u w:val="single"/>
        </w:rPr>
        <w:t>Budowę sieci wodociągowej i sieci kanalizacji sanitarnej wraz z przepompownią ścieków w drogach dojazdowych do ul. Kościelna Droga – Etap 1.</w:t>
      </w:r>
    </w:p>
    <w:p w:rsidR="003322D2" w:rsidRDefault="003322D2" w:rsidP="003322D2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2"/>
          <w:szCs w:val="22"/>
        </w:rPr>
      </w:pPr>
    </w:p>
    <w:p w:rsidR="003322D2" w:rsidRDefault="003322D2" w:rsidP="003322D2">
      <w:pPr>
        <w:pStyle w:val="Default"/>
        <w:ind w:right="260"/>
        <w:jc w:val="both"/>
        <w:rPr>
          <w:rFonts w:ascii="Cambria" w:hAnsi="Cambria" w:cs="Cambria"/>
          <w:sz w:val="22"/>
          <w:szCs w:val="22"/>
          <w:highlight w:val="yellow"/>
        </w:rPr>
      </w:pPr>
    </w:p>
    <w:p w:rsidR="003322D2" w:rsidRDefault="003322D2" w:rsidP="003322D2">
      <w:pPr>
        <w:pStyle w:val="Default"/>
        <w:ind w:right="260"/>
        <w:jc w:val="both"/>
        <w:rPr>
          <w:rFonts w:ascii="Cambria" w:hAnsi="Cambria" w:cs="Cambria"/>
          <w:b/>
          <w:color w:val="auto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Nr referencyjny nadany sprawie przez Zamawiającego</w:t>
      </w:r>
      <w:r>
        <w:rPr>
          <w:rFonts w:ascii="Cambria" w:hAnsi="Cambria" w:cs="Cambria"/>
          <w:b/>
          <w:bCs/>
          <w:sz w:val="22"/>
          <w:szCs w:val="22"/>
        </w:rPr>
        <w:t>: JRP/ZWIK/ZP/PN/08/02/2020</w:t>
      </w:r>
    </w:p>
    <w:p w:rsidR="003322D2" w:rsidRDefault="003322D2" w:rsidP="003322D2">
      <w:pPr>
        <w:pStyle w:val="Default"/>
        <w:ind w:right="26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highlight w:val="yellow"/>
        </w:rPr>
        <w:t xml:space="preserve"> </w:t>
      </w:r>
    </w:p>
    <w:p w:rsidR="003322D2" w:rsidRDefault="003322D2" w:rsidP="003322D2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ZAMAWIAJĄCY:</w:t>
      </w: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sz w:val="22"/>
          <w:szCs w:val="22"/>
        </w:rPr>
        <w:t xml:space="preserve">Zakład Wodociągów i Kanalizacji w Łomiankach Sp. z o.o. </w:t>
      </w:r>
    </w:p>
    <w:p w:rsidR="003322D2" w:rsidRDefault="003322D2" w:rsidP="003322D2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ul. Rolnicza 244, 05-092 Łomianki</w:t>
      </w:r>
    </w:p>
    <w:p w:rsidR="003322D2" w:rsidRDefault="003322D2" w:rsidP="003322D2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3322D2" w:rsidRDefault="003322D2" w:rsidP="003322D2">
      <w:pPr>
        <w:jc w:val="both"/>
      </w:pPr>
      <w:r>
        <w:rPr>
          <w:rFonts w:ascii="Cambria" w:hAnsi="Cambria" w:cs="Cambria"/>
          <w:sz w:val="22"/>
          <w:szCs w:val="22"/>
        </w:rPr>
        <w:t>Zamawiający zgodnie z art. 29 i art. 30 ustawy z dnia 29 stycznia 2004r. – Prawo Zamówień Publicznych (tj. Dz. U. z 2019r., poz. 1843) dopuszcza zastosowanie materiałów i/lub urządzeń równoważnych do przedstawionych i opisanych w dokumentacji projektowej i SWTIOR (o parametrach równoważnych lub wyższych). Użyte w dokumentacji projektowej znaki towarowe i nazwy (jeżeli się pojawiają) są przykładowe. W przypadku materiałów i urządzeń równoważnych muszą to być materiały i urządzenia dopuszczone do użytku na terenie Polski.</w:t>
      </w:r>
    </w:p>
    <w:p w:rsidR="003322D2" w:rsidRDefault="003322D2" w:rsidP="003322D2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Jeżeli Wykonawca, który składając ofertę w niniejszym postępowaniu zamierza powołać się na rozwiązania równoważne opisanym przez Zamawiającego jest obowiązany wykazać, że oferowane przez niego materiały i/lub urządzenia spełniają wymagania określone przez Zamawiającego. </w:t>
      </w:r>
    </w:p>
    <w:p w:rsidR="003322D2" w:rsidRDefault="003322D2" w:rsidP="003322D2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takiej sytuacji Wykonawca wypełnia i załącza do oferty niniejszy formularz. </w:t>
      </w:r>
    </w:p>
    <w:p w:rsidR="003322D2" w:rsidRDefault="003322D2" w:rsidP="003322D2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:rsidR="003322D2" w:rsidRDefault="003322D2" w:rsidP="003322D2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:rsidR="003322D2" w:rsidRDefault="003322D2" w:rsidP="003322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9"/>
        <w:gridCol w:w="4900"/>
      </w:tblGrid>
      <w:tr w:rsidR="003322D2" w:rsidTr="00332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2" w:rsidRDefault="003322D2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D2" w:rsidRDefault="003322D2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3322D2" w:rsidTr="00332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3322D2" w:rsidTr="00332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3322D2" w:rsidTr="00332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3322D2" w:rsidTr="003322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2" w:rsidRDefault="003322D2">
            <w:pPr>
              <w:pStyle w:val="Default"/>
              <w:spacing w:line="256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322D2" w:rsidRDefault="003322D2" w:rsidP="003322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3322D2" w:rsidRDefault="003322D2" w:rsidP="003322D2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:rsidR="003322D2" w:rsidRDefault="003322D2" w:rsidP="003322D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:rsidR="003322D2" w:rsidRDefault="003322D2" w:rsidP="003322D2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:rsidR="003322D2" w:rsidRDefault="003322D2" w:rsidP="003322D2">
      <w:pPr>
        <w:pStyle w:val="Default"/>
        <w:rPr>
          <w:rFonts w:ascii="Cambria" w:hAnsi="Cambria"/>
          <w:sz w:val="16"/>
          <w:szCs w:val="16"/>
        </w:rPr>
      </w:pPr>
    </w:p>
    <w:p w:rsidR="003322D2" w:rsidRDefault="003322D2" w:rsidP="003322D2">
      <w:pPr>
        <w:pStyle w:val="Default"/>
        <w:rPr>
          <w:rFonts w:ascii="Cambria" w:hAnsi="Cambria"/>
          <w:sz w:val="16"/>
          <w:szCs w:val="16"/>
        </w:rPr>
      </w:pPr>
    </w:p>
    <w:p w:rsidR="003322D2" w:rsidRDefault="003322D2" w:rsidP="003322D2">
      <w:pPr>
        <w:pStyle w:val="Default"/>
        <w:rPr>
          <w:rFonts w:ascii="Cambria" w:hAnsi="Cambria"/>
          <w:sz w:val="16"/>
          <w:szCs w:val="16"/>
        </w:rPr>
      </w:pPr>
    </w:p>
    <w:p w:rsidR="002A31B9" w:rsidRDefault="003322D2">
      <w:bookmarkStart w:id="0" w:name="_GoBack"/>
      <w:bookmarkEnd w:id="0"/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4"/>
    <w:rsid w:val="003322D2"/>
    <w:rsid w:val="004B7894"/>
    <w:rsid w:val="00687E2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D08F-8256-40CC-B0AD-6B7924C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D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2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2020-03-05T08:46:00Z</dcterms:created>
  <dcterms:modified xsi:type="dcterms:W3CDTF">2020-03-05T08:48:00Z</dcterms:modified>
</cp:coreProperties>
</file>